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7257FD" w:rsidRPr="00A42791" w:rsidTr="00340510">
        <w:tc>
          <w:tcPr>
            <w:tcW w:w="10754" w:type="dxa"/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7"/>
              <w:gridCol w:w="3035"/>
              <w:gridCol w:w="2890"/>
            </w:tblGrid>
            <w:tr w:rsidR="007257FD" w:rsidRPr="00A42791" w:rsidTr="00340510">
              <w:tc>
                <w:tcPr>
                  <w:tcW w:w="3507" w:type="dxa"/>
                  <w:shd w:val="clear" w:color="auto" w:fill="auto"/>
                </w:tcPr>
                <w:p w:rsidR="007257FD" w:rsidRPr="008D49BB" w:rsidRDefault="007257FD" w:rsidP="007257FD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Cs w:val="24"/>
                    </w:rPr>
                  </w:pPr>
                  <w:bookmarkStart w:id="0" w:name="OLE_LINK15"/>
                  <w:bookmarkStart w:id="1" w:name="OLE_LINK18"/>
                  <w:r>
                    <w:rPr>
                      <w:rFonts w:ascii="Calibri" w:hAnsi="Calibri"/>
                      <w:noProof/>
                      <w:sz w:val="14"/>
                      <w:szCs w:val="14"/>
                      <w:lang w:val="en-US"/>
                    </w:rPr>
                    <w:drawing>
                      <wp:inline distT="0" distB="0" distL="0" distR="0">
                        <wp:extent cx="1419225" cy="733425"/>
                        <wp:effectExtent l="0" t="0" r="9525" b="9525"/>
                        <wp:docPr id="8" name="Picture 8" descr="DCAF_Logo_Engli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DCAF_Logo_Engli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55" t="18140" r="9357" b="1447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8" w:type="dxa"/>
                  <w:shd w:val="clear" w:color="auto" w:fill="auto"/>
                </w:tcPr>
                <w:p w:rsidR="007257FD" w:rsidRPr="008D49BB" w:rsidRDefault="007257FD" w:rsidP="007257F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>
                        <wp:extent cx="1219200" cy="428625"/>
                        <wp:effectExtent l="0" t="0" r="0" b="9525"/>
                        <wp:docPr id="7" name="Picture 7" descr="RACVIAC 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ACVIAC 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57FD" w:rsidRPr="008D49BB" w:rsidRDefault="007257FD" w:rsidP="007257FD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Cs w:val="24"/>
                    </w:rPr>
                  </w:pPr>
                  <w:r>
                    <w:rPr>
                      <w:rFonts w:ascii="Arial Black" w:hAnsi="Arial Black"/>
                      <w:color w:val="808080"/>
                      <w:sz w:val="14"/>
                      <w:szCs w:val="14"/>
                    </w:rPr>
                    <w:t>ЦЕНТАР ЗА БЕЗБЕДНОСНУ САРАДЊУ</w:t>
                  </w:r>
                </w:p>
              </w:tc>
              <w:tc>
                <w:tcPr>
                  <w:tcW w:w="3508" w:type="dxa"/>
                  <w:shd w:val="clear" w:color="auto" w:fill="auto"/>
                </w:tcPr>
                <w:p w:rsidR="007257FD" w:rsidRPr="008D49BB" w:rsidRDefault="007257FD" w:rsidP="007257F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14"/>
                      <w:szCs w:val="14"/>
                      <w:lang w:val="en-US"/>
                    </w:rPr>
                    <w:drawing>
                      <wp:inline distT="0" distB="0" distL="0" distR="0">
                        <wp:extent cx="946150" cy="485140"/>
                        <wp:effectExtent l="0" t="0" r="635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0" cy="4851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57FD" w:rsidRPr="008D49BB" w:rsidRDefault="007257FD" w:rsidP="007257FD">
                  <w:pPr>
                    <w:pStyle w:val="BodyText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Народна скупштина</w:t>
                  </w:r>
                </w:p>
                <w:p w:rsidR="007257FD" w:rsidRPr="008D49BB" w:rsidRDefault="007257FD" w:rsidP="007257FD">
                  <w:pPr>
                    <w:jc w:val="center"/>
                    <w:rPr>
                      <w:rFonts w:ascii="Tahoma" w:hAnsi="Tahoma" w:cs="Tahoma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Републике Србије</w:t>
                  </w:r>
                </w:p>
              </w:tc>
            </w:tr>
          </w:tbl>
          <w:p w:rsidR="007257FD" w:rsidRPr="0058603F" w:rsidRDefault="007257FD" w:rsidP="00340510">
            <w:pPr>
              <w:spacing w:before="120"/>
              <w:rPr>
                <w:rFonts w:ascii="Tahoma" w:hAnsi="Tahoma" w:cs="Tahoma"/>
                <w:b/>
                <w:szCs w:val="24"/>
              </w:rPr>
            </w:pPr>
          </w:p>
        </w:tc>
      </w:tr>
    </w:tbl>
    <w:p w:rsidR="007257FD" w:rsidRPr="00E346D1" w:rsidRDefault="007257FD" w:rsidP="007257FD">
      <w:pPr>
        <w:pStyle w:val="BodyText"/>
        <w:jc w:val="right"/>
      </w:pPr>
      <w:bookmarkStart w:id="2" w:name="OLE_LINK23"/>
      <w:bookmarkStart w:id="3" w:name="OLE_LINK24"/>
      <w:bookmarkEnd w:id="0"/>
      <w:bookmarkEnd w:id="1"/>
    </w:p>
    <w:p w:rsidR="007257FD" w:rsidRDefault="007257FD" w:rsidP="007257FD">
      <w:pPr>
        <w:pStyle w:val="BodyText"/>
      </w:pPr>
      <w:r>
        <w:rPr>
          <w:bCs/>
        </w:rPr>
        <w:t>Годишњи састанак представника</w:t>
      </w:r>
    </w:p>
    <w:p w:rsidR="007257FD" w:rsidRPr="000F64D8" w:rsidRDefault="007257FD" w:rsidP="007257FD">
      <w:pPr>
        <w:pStyle w:val="BodyText"/>
        <w:rPr>
          <w:lang w:val="ru-RU"/>
        </w:rPr>
      </w:pPr>
      <w:r w:rsidRPr="000F64D8">
        <w:rPr>
          <w:bCs/>
          <w:lang w:val="ru-RU"/>
        </w:rPr>
        <w:t>одбора за одбрану и безбедност парламената земаља Југоисточне Европе</w:t>
      </w:r>
      <w:r w:rsidRPr="000F64D8">
        <w:rPr>
          <w:b w:val="0"/>
          <w:lang w:val="ru-RU"/>
        </w:rPr>
        <w:t xml:space="preserve"> </w:t>
      </w:r>
    </w:p>
    <w:bookmarkEnd w:id="2"/>
    <w:bookmarkEnd w:id="3"/>
    <w:p w:rsidR="007257FD" w:rsidRPr="00AB2F8C" w:rsidRDefault="00F70FEE" w:rsidP="00F80D63">
      <w:pPr>
        <w:spacing w:before="120"/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bCs/>
          <w:szCs w:val="24"/>
        </w:rPr>
        <w:t>Београд, 29. јун - 1. јул 2015. године</w:t>
      </w:r>
    </w:p>
    <w:p w:rsidR="007257FD" w:rsidRPr="007257FD" w:rsidRDefault="007257FD">
      <w:pPr>
        <w:rPr>
          <w:rFonts w:ascii="Arial" w:hAnsi="Arial" w:cs="Arial"/>
          <w:b/>
          <w:sz w:val="14"/>
          <w:szCs w:val="14"/>
        </w:rPr>
      </w:pPr>
    </w:p>
    <w:p w:rsidR="00046443" w:rsidRPr="00F77280" w:rsidRDefault="00F77280" w:rsidP="007257FD">
      <w:pPr>
        <w:jc w:val="center"/>
        <w:rPr>
          <w:b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ЗАЈЕДНИЧКА ИЗЈАВА</w:t>
      </w:r>
    </w:p>
    <w:p w:rsidR="006C2320" w:rsidRDefault="006C2320" w:rsidP="006C2320">
      <w:pPr>
        <w:jc w:val="both"/>
        <w:rPr>
          <w:sz w:val="24"/>
          <w:szCs w:val="24"/>
        </w:rPr>
      </w:pPr>
    </w:p>
    <w:p w:rsidR="00656C1D" w:rsidRDefault="00F70FEE" w:rsidP="006C23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Трећи </w:t>
      </w:r>
      <w:r>
        <w:rPr>
          <w:i/>
          <w:iCs/>
          <w:sz w:val="24"/>
          <w:szCs w:val="24"/>
        </w:rPr>
        <w:t>Годишњи састанак представника одбора за одбрану и безбедност парламената земаља Југоисточне Европе</w:t>
      </w:r>
      <w:r>
        <w:rPr>
          <w:sz w:val="24"/>
          <w:szCs w:val="24"/>
        </w:rPr>
        <w:t xml:space="preserve"> се одржао у Београду од 29. јуна до 1. јула 2015. године.  </w:t>
      </w:r>
    </w:p>
    <w:p w:rsidR="00656C1D" w:rsidRDefault="00656C1D" w:rsidP="006C23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Конференцију, којој су присуствовали представници </w:t>
      </w:r>
      <w:r w:rsidR="00200D07">
        <w:rPr>
          <w:sz w:val="24"/>
          <w:szCs w:val="24"/>
          <w:lang w:val="sr-Cyrl-RS"/>
        </w:rPr>
        <w:t>осам</w:t>
      </w:r>
      <w:r>
        <w:rPr>
          <w:sz w:val="24"/>
          <w:szCs w:val="24"/>
        </w:rPr>
        <w:t xml:space="preserve"> одбора за одбрану и безбедност, је угостио Одбор за одбрану и унутрашње послове Народне скупштине Републике Србије, а подршку су обезбедили </w:t>
      </w:r>
      <w:r>
        <w:rPr>
          <w:i/>
          <w:iCs/>
          <w:sz w:val="24"/>
          <w:szCs w:val="24"/>
        </w:rPr>
        <w:t>RACVIAC</w:t>
      </w:r>
      <w:r>
        <w:rPr>
          <w:sz w:val="24"/>
          <w:szCs w:val="24"/>
        </w:rPr>
        <w:t xml:space="preserve"> - Центар за безбедносну сарадњу у Југоисточној Европи и Женевски центар за контролу оружаних снага (</w:t>
      </w:r>
      <w:r>
        <w:rPr>
          <w:i/>
          <w:iCs/>
          <w:sz w:val="24"/>
          <w:szCs w:val="24"/>
        </w:rPr>
        <w:t>DCAF</w:t>
      </w:r>
      <w:r>
        <w:rPr>
          <w:sz w:val="24"/>
          <w:szCs w:val="24"/>
        </w:rPr>
        <w:t xml:space="preserve">). </w:t>
      </w:r>
    </w:p>
    <w:p w:rsidR="006C2320" w:rsidRDefault="00D37399" w:rsidP="006C23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конференције је била Сарадња у пружању помоћи у поплављеним пределима у Југоисточној Европи. </w:t>
      </w:r>
    </w:p>
    <w:p w:rsidR="00BD18AC" w:rsidRDefault="00BD18AC" w:rsidP="00BD18AC">
      <w:pPr>
        <w:spacing w:after="160" w:line="259" w:lineRule="auto"/>
        <w:ind w:firstLine="708"/>
        <w:jc w:val="both"/>
        <w:rPr>
          <w:rFonts w:ascii="Calibri" w:eastAsia="Calibri" w:hAnsi="Calibri" w:cs="Arial"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i/>
          <w:iCs/>
          <w:sz w:val="24"/>
          <w:szCs w:val="24"/>
        </w:rPr>
        <w:t>Руковођени</w:t>
      </w:r>
      <w:r>
        <w:rPr>
          <w:rFonts w:ascii="Calibri" w:hAnsi="Calibri"/>
          <w:sz w:val="24"/>
          <w:szCs w:val="24"/>
        </w:rPr>
        <w:t xml:space="preserve"> Међународном стратегијом Уједињених нација за смањење ризика од катастрофа која истиче потребу</w:t>
      </w:r>
      <w:r>
        <w:t xml:space="preserve"> да се промовише „култура превенције“ 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и</w:t>
      </w:r>
      <w:r>
        <w:rPr>
          <w:rFonts w:ascii="Calibri" w:hAnsi="Calibri"/>
          <w:sz w:val="24"/>
          <w:szCs w:val="24"/>
        </w:rPr>
        <w:t xml:space="preserve"> Оквиром за смањење ризика од катастрофа у периоду 2015-2030. из Сендаија који истиче одговорност држава да спрече и умање ризике од катастрофа, између осталог и кроз међународну, регионалну, подрегионалну трансграничну и билатералну сарадњу</w:t>
      </w:r>
      <w:r w:rsidR="00620C73">
        <w:rPr>
          <w:rFonts w:ascii="Calibri" w:hAnsi="Calibri"/>
          <w:sz w:val="24"/>
          <w:szCs w:val="24"/>
        </w:rPr>
        <w:t>;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</w:p>
    <w:p w:rsidR="00BD18AC" w:rsidRDefault="00BD18AC" w:rsidP="00BD18AC">
      <w:pPr>
        <w:spacing w:after="160" w:line="259" w:lineRule="auto"/>
        <w:ind w:firstLine="708"/>
        <w:jc w:val="both"/>
        <w:rPr>
          <w:rFonts w:ascii="Calibri" w:eastAsia="Calibri" w:hAnsi="Calibri" w:cs="EUAlbertina"/>
          <w:bCs/>
          <w:color w:val="000000"/>
          <w:sz w:val="24"/>
          <w:szCs w:val="24"/>
        </w:rPr>
      </w:pPr>
      <w:r>
        <w:rPr>
          <w:rFonts w:ascii="Calibri" w:eastAsia="Calibri" w:hAnsi="Calibri"/>
          <w:i/>
          <w:iCs/>
          <w:sz w:val="24"/>
          <w:szCs w:val="24"/>
        </w:rPr>
        <w:t xml:space="preserve">Позивајући се на </w:t>
      </w:r>
      <w:r>
        <w:rPr>
          <w:rFonts w:ascii="Calibri" w:eastAsia="Calibri" w:hAnsi="Calibri"/>
          <w:sz w:val="24"/>
          <w:szCs w:val="24"/>
        </w:rPr>
        <w:t>Директиву Европског парламента и Савета бр. 2007/60/ЕЗ о процени и управљању ризицима од поплава; Одлуку</w:t>
      </w:r>
      <w:r w:rsidR="00620C73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color w:val="000000"/>
          <w:sz w:val="24"/>
          <w:szCs w:val="24"/>
        </w:rPr>
        <w:t xml:space="preserve">Европског парламента и Савета бр. 1313/2013/ЕУ о Механизмима Уније за цивилну заштиту; </w:t>
      </w:r>
    </w:p>
    <w:p w:rsidR="00BD18AC" w:rsidRPr="00BD18AC" w:rsidRDefault="00BD18AC" w:rsidP="00BD18AC">
      <w:pPr>
        <w:spacing w:after="160" w:line="259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Увиђајући</w:t>
      </w:r>
      <w:r>
        <w:rPr>
          <w:rFonts w:ascii="Calibri" w:hAnsi="Calibri"/>
          <w:sz w:val="24"/>
          <w:szCs w:val="24"/>
        </w:rPr>
        <w:t xml:space="preserve"> допринос Програма Европске уније за сарадњу у области цивилне заштите са државама кандидатима и потенцијалним кандидатима за чланство у ЕУ и са ИПА програмом за цивилну заштиту II - </w:t>
      </w:r>
      <w:r>
        <w:rPr>
          <w:rFonts w:ascii="Calibri" w:hAnsi="Calibri"/>
          <w:color w:val="000000"/>
          <w:sz w:val="24"/>
          <w:szCs w:val="24"/>
        </w:rPr>
        <w:t xml:space="preserve">IPA CP 2 са циљем јачања флексибилности у случају катастрофе у региону ЈИЕ; и </w:t>
      </w:r>
      <w:r>
        <w:rPr>
          <w:rFonts w:ascii="Calibri" w:hAnsi="Calibri"/>
          <w:sz w:val="24"/>
          <w:szCs w:val="24"/>
        </w:rPr>
        <w:t xml:space="preserve">Програма за превенцију, приправност и одговор у случају поплава на Западном Балкану и у Републици Турској - IPA FLOODS у циљу јачања флексибилности у случају поплаве у региону ЈИЕ; </w:t>
      </w:r>
    </w:p>
    <w:p w:rsidR="00BD18AC" w:rsidRDefault="00BD18AC" w:rsidP="000D15C1">
      <w:pPr>
        <w:spacing w:after="160" w:line="259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i/>
          <w:iCs/>
          <w:sz w:val="24"/>
          <w:szCs w:val="24"/>
        </w:rPr>
        <w:t xml:space="preserve">Истичући </w:t>
      </w:r>
      <w:r>
        <w:rPr>
          <w:rFonts w:ascii="Calibri" w:eastAsia="Calibri" w:hAnsi="Calibri" w:cs="Times New Roman"/>
          <w:sz w:val="24"/>
          <w:szCs w:val="24"/>
        </w:rPr>
        <w:t xml:space="preserve">важност билатералне и регионалне сарадње влада земаља ЈИЕ засноване на регионалном власништву, као што је Иницијатива за превенцију и </w:t>
      </w:r>
      <w:r>
        <w:rPr>
          <w:rFonts w:ascii="Calibri" w:eastAsia="Calibri" w:hAnsi="Calibri" w:cs="Times New Roman"/>
          <w:sz w:val="24"/>
          <w:szCs w:val="24"/>
        </w:rPr>
        <w:lastRenderedPageBreak/>
        <w:t xml:space="preserve">спремност у случају катастрофа за регион Југоисточне Европе и у складу са препорукама датим у документима Регионалне конференције </w:t>
      </w:r>
      <w:r>
        <w:rPr>
          <w:rFonts w:ascii="Calibri" w:eastAsia="Calibri" w:hAnsi="Calibri" w:cs="Times New Roman"/>
          <w:i/>
          <w:iCs/>
          <w:sz w:val="24"/>
          <w:szCs w:val="24"/>
        </w:rPr>
        <w:t>RACVIAC</w:t>
      </w:r>
      <w:r>
        <w:rPr>
          <w:rFonts w:ascii="Calibri" w:eastAsia="Calibri" w:hAnsi="Calibri" w:cs="Times New Roman"/>
          <w:sz w:val="24"/>
          <w:szCs w:val="24"/>
        </w:rPr>
        <w:t xml:space="preserve"> 2014: „Поплаве у Југоисточној Европи - научене лекције и наредни кораци“;</w:t>
      </w:r>
    </w:p>
    <w:p w:rsidR="00BD18AC" w:rsidRPr="00BD18AC" w:rsidRDefault="00BD18AC" w:rsidP="00BD18AC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0D15C1" w:rsidRPr="000D15C1" w:rsidRDefault="000D15C1" w:rsidP="000D15C1">
      <w:pPr>
        <w:ind w:firstLine="708"/>
        <w:jc w:val="both"/>
        <w:rPr>
          <w:i/>
          <w:sz w:val="24"/>
        </w:rPr>
      </w:pPr>
      <w:r>
        <w:rPr>
          <w:i/>
          <w:iCs/>
          <w:sz w:val="24"/>
        </w:rPr>
        <w:t xml:space="preserve">Учесници конференције су се договорили да узму у обзир да охрабре и подстакну владе у региону да у блиској будућности предузму конкретне кораке у циљу спровођења следећих </w:t>
      </w:r>
      <w:r w:rsidRPr="00200D07">
        <w:rPr>
          <w:i/>
          <w:iCs/>
          <w:sz w:val="24"/>
        </w:rPr>
        <w:t>процеса</w:t>
      </w:r>
      <w:r w:rsidRPr="00200D07">
        <w:rPr>
          <w:sz w:val="24"/>
        </w:rPr>
        <w:t>/</w:t>
      </w:r>
      <w:r w:rsidRPr="00200D07">
        <w:rPr>
          <w:i/>
          <w:iCs/>
          <w:sz w:val="24"/>
        </w:rPr>
        <w:t>или мера</w:t>
      </w:r>
      <w:r w:rsidRPr="00200D07">
        <w:rPr>
          <w:sz w:val="24"/>
        </w:rPr>
        <w:t>:</w:t>
      </w:r>
      <w:r>
        <w:rPr>
          <w:sz w:val="24"/>
        </w:rPr>
        <w:t xml:space="preserve"> </w:t>
      </w:r>
    </w:p>
    <w:p w:rsidR="000D15C1" w:rsidRPr="00A42791" w:rsidRDefault="005D0653" w:rsidP="005D0653">
      <w:pPr>
        <w:pStyle w:val="ListParagraph"/>
        <w:numPr>
          <w:ilvl w:val="0"/>
          <w:numId w:val="3"/>
        </w:numPr>
        <w:spacing w:before="360" w:after="120"/>
        <w:ind w:left="0"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Израда</w:t>
      </w:r>
      <w:r>
        <w:rPr>
          <w:sz w:val="24"/>
          <w:szCs w:val="24"/>
        </w:rPr>
        <w:t xml:space="preserve"> регионалне стратегије за управљање катастрофама у региону ЈИЕ</w:t>
      </w:r>
      <w:r w:rsidR="00620C73">
        <w:rPr>
          <w:sz w:val="24"/>
          <w:szCs w:val="24"/>
        </w:rPr>
        <w:t xml:space="preserve"> </w:t>
      </w:r>
      <w:r>
        <w:t>у којој се велики приоритет даје колективном напору да се овај регион учини безбеднијим од ризика од катастрофа.</w:t>
      </w:r>
    </w:p>
    <w:p w:rsidR="00A42791" w:rsidRPr="005D0653" w:rsidRDefault="00A42791" w:rsidP="00A42791">
      <w:pPr>
        <w:pStyle w:val="ListParagraph"/>
        <w:spacing w:before="360" w:after="120"/>
        <w:ind w:left="709"/>
        <w:jc w:val="both"/>
        <w:rPr>
          <w:sz w:val="24"/>
          <w:szCs w:val="24"/>
        </w:rPr>
      </w:pPr>
    </w:p>
    <w:p w:rsidR="005D0653" w:rsidRDefault="005D0653" w:rsidP="005D0653">
      <w:pPr>
        <w:pStyle w:val="ListParagraph"/>
        <w:numPr>
          <w:ilvl w:val="0"/>
          <w:numId w:val="3"/>
        </w:numPr>
        <w:spacing w:before="480" w:after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Изградња</w:t>
      </w:r>
      <w:r>
        <w:rPr>
          <w:sz w:val="24"/>
          <w:szCs w:val="24"/>
        </w:rPr>
        <w:t xml:space="preserve"> капацитета цивилне заштите за </w:t>
      </w:r>
      <w:r>
        <w:rPr>
          <w:rFonts w:ascii="Calibri" w:hAnsi="Calibri"/>
          <w:sz w:val="24"/>
          <w:szCs w:val="24"/>
        </w:rPr>
        <w:t xml:space="preserve">стално делотворно управљање ризицима од поплава, </w:t>
      </w:r>
      <w:r>
        <w:rPr>
          <w:sz w:val="24"/>
          <w:szCs w:val="24"/>
        </w:rPr>
        <w:t>у складу са Механизмима цивилне заштите ЕУ и Директивом о поплавама ЕУ; то треба да укључује добре планове управљања ризиком од поплава, промовисање одрживог управљања земљиштем којим се унапређује задржавање воде и рад на одбрани од поплава и инфраструктури која је отпорна на климатске услове;</w:t>
      </w:r>
    </w:p>
    <w:p w:rsidR="00A42791" w:rsidRPr="00A42791" w:rsidRDefault="00A42791" w:rsidP="00A42791">
      <w:pPr>
        <w:pStyle w:val="ListParagraph"/>
        <w:rPr>
          <w:sz w:val="24"/>
          <w:szCs w:val="24"/>
        </w:rPr>
      </w:pPr>
    </w:p>
    <w:p w:rsidR="00675E35" w:rsidRPr="00200D07" w:rsidRDefault="00A74435" w:rsidP="005D0653">
      <w:pPr>
        <w:pStyle w:val="ListParagraph"/>
        <w:numPr>
          <w:ilvl w:val="0"/>
          <w:numId w:val="3"/>
        </w:numPr>
        <w:spacing w:before="360" w:after="120"/>
        <w:ind w:left="0"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Увођење</w:t>
      </w:r>
      <w:r>
        <w:rPr>
          <w:sz w:val="24"/>
          <w:szCs w:val="24"/>
        </w:rPr>
        <w:t xml:space="preserve"> система раног упозоравања на свим нивоима и ажурирање планирања непредвиђеног и мера за ванредне ситуације.</w:t>
      </w:r>
    </w:p>
    <w:p w:rsidR="00200D07" w:rsidRPr="00200D07" w:rsidRDefault="00200D07" w:rsidP="00200D07">
      <w:pPr>
        <w:pStyle w:val="ListParagraph"/>
        <w:rPr>
          <w:sz w:val="24"/>
          <w:szCs w:val="24"/>
        </w:rPr>
      </w:pPr>
    </w:p>
    <w:p w:rsidR="00200D07" w:rsidRDefault="00200D07" w:rsidP="005D0653">
      <w:pPr>
        <w:pStyle w:val="ListParagraph"/>
        <w:numPr>
          <w:ilvl w:val="0"/>
          <w:numId w:val="3"/>
        </w:numPr>
        <w:spacing w:before="360" w:after="120"/>
        <w:ind w:left="0" w:firstLine="709"/>
        <w:jc w:val="both"/>
        <w:rPr>
          <w:sz w:val="24"/>
          <w:szCs w:val="24"/>
        </w:rPr>
      </w:pPr>
      <w:r w:rsidRPr="00200D07">
        <w:rPr>
          <w:i/>
          <w:sz w:val="24"/>
          <w:szCs w:val="24"/>
          <w:lang w:val="sr-Cyrl-RS"/>
        </w:rPr>
        <w:t>Унапређивање</w:t>
      </w:r>
      <w:r>
        <w:rPr>
          <w:sz w:val="24"/>
          <w:szCs w:val="24"/>
          <w:lang w:val="sr-Cyrl-RS"/>
        </w:rPr>
        <w:t xml:space="preserve"> комуникације међу владама у скучају катастрофа, побољшање ефикасности и брзине инфирмисања, како би се избегла кашњења;</w:t>
      </w:r>
    </w:p>
    <w:p w:rsidR="00A42791" w:rsidRPr="005D0653" w:rsidRDefault="00A42791" w:rsidP="00A42791">
      <w:pPr>
        <w:pStyle w:val="ListParagraph"/>
        <w:spacing w:before="360" w:after="120"/>
        <w:ind w:left="709"/>
        <w:jc w:val="both"/>
        <w:rPr>
          <w:sz w:val="24"/>
          <w:szCs w:val="24"/>
        </w:rPr>
      </w:pPr>
    </w:p>
    <w:p w:rsidR="00A74435" w:rsidRDefault="00A74435" w:rsidP="005D0653">
      <w:pPr>
        <w:pStyle w:val="ListParagraph"/>
        <w:numPr>
          <w:ilvl w:val="0"/>
          <w:numId w:val="3"/>
        </w:numPr>
        <w:spacing w:before="360" w:after="120"/>
        <w:ind w:left="0"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Сарадња</w:t>
      </w:r>
      <w:r>
        <w:rPr>
          <w:sz w:val="24"/>
          <w:szCs w:val="24"/>
        </w:rPr>
        <w:t xml:space="preserve"> на регионалном нивоу у области управљања речним сливовима и наставак добре праксе спровођења Оквирног споразума за слив реке Саве;</w:t>
      </w:r>
    </w:p>
    <w:p w:rsidR="00A42791" w:rsidRPr="00A42791" w:rsidRDefault="00A42791" w:rsidP="00A42791">
      <w:pPr>
        <w:pStyle w:val="ListParagraph"/>
        <w:rPr>
          <w:sz w:val="24"/>
          <w:szCs w:val="24"/>
        </w:rPr>
      </w:pPr>
    </w:p>
    <w:p w:rsidR="00A74435" w:rsidRDefault="00A74435" w:rsidP="005D0653">
      <w:pPr>
        <w:pStyle w:val="ListParagraph"/>
        <w:numPr>
          <w:ilvl w:val="0"/>
          <w:numId w:val="3"/>
        </w:numPr>
        <w:spacing w:before="360" w:after="120"/>
        <w:ind w:left="0"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Пружање</w:t>
      </w:r>
      <w:r>
        <w:rPr>
          <w:sz w:val="24"/>
          <w:szCs w:val="24"/>
        </w:rPr>
        <w:t xml:space="preserve"> приоритетне подршке н</w:t>
      </w:r>
      <w:bookmarkStart w:id="4" w:name="_GoBack"/>
      <w:bookmarkEnd w:id="4"/>
      <w:r>
        <w:rPr>
          <w:sz w:val="24"/>
          <w:szCs w:val="24"/>
        </w:rPr>
        <w:t>ајосетљивијим групама становништва, посебно за решавање питања становања и обезбеђивање приступа здравственој заштити и образовању;</w:t>
      </w:r>
    </w:p>
    <w:p w:rsidR="00A42791" w:rsidRPr="00A42791" w:rsidRDefault="00A42791" w:rsidP="00A42791">
      <w:pPr>
        <w:pStyle w:val="ListParagraph"/>
        <w:rPr>
          <w:sz w:val="24"/>
          <w:szCs w:val="24"/>
        </w:rPr>
      </w:pPr>
    </w:p>
    <w:p w:rsidR="00A74435" w:rsidRPr="00200D07" w:rsidRDefault="00A74435" w:rsidP="005D0653">
      <w:pPr>
        <w:pStyle w:val="ListParagraph"/>
        <w:numPr>
          <w:ilvl w:val="0"/>
          <w:numId w:val="3"/>
        </w:numPr>
        <w:spacing w:before="360" w:after="120"/>
        <w:ind w:left="0"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Обезбеђивање</w:t>
      </w:r>
      <w:r>
        <w:rPr>
          <w:sz w:val="24"/>
          <w:szCs w:val="24"/>
        </w:rPr>
        <w:t xml:space="preserve"> транспарентности, ефикасности и одговорности у коришћењу </w:t>
      </w:r>
      <w:r w:rsidR="00620C73">
        <w:rPr>
          <w:sz w:val="24"/>
          <w:szCs w:val="24"/>
        </w:rPr>
        <w:t>примљене</w:t>
      </w:r>
      <w:r w:rsidR="00200D07">
        <w:rPr>
          <w:sz w:val="24"/>
          <w:szCs w:val="24"/>
        </w:rPr>
        <w:t xml:space="preserve"> финансијске помоћи</w:t>
      </w:r>
      <w:r w:rsidR="00200D07">
        <w:rPr>
          <w:sz w:val="24"/>
          <w:szCs w:val="24"/>
          <w:lang w:val="sr-Cyrl-RS"/>
        </w:rPr>
        <w:t>;</w:t>
      </w:r>
    </w:p>
    <w:p w:rsidR="00200D07" w:rsidRPr="00200D07" w:rsidRDefault="00200D07" w:rsidP="00200D07">
      <w:pPr>
        <w:pStyle w:val="ListParagraph"/>
        <w:rPr>
          <w:sz w:val="24"/>
          <w:szCs w:val="24"/>
        </w:rPr>
      </w:pPr>
    </w:p>
    <w:p w:rsidR="00200D07" w:rsidRPr="00200D07" w:rsidRDefault="00200D07" w:rsidP="005D0653">
      <w:pPr>
        <w:pStyle w:val="ListParagraph"/>
        <w:numPr>
          <w:ilvl w:val="0"/>
          <w:numId w:val="3"/>
        </w:numPr>
        <w:spacing w:before="360" w:after="120"/>
        <w:ind w:left="0" w:firstLine="709"/>
        <w:jc w:val="both"/>
        <w:rPr>
          <w:sz w:val="24"/>
          <w:szCs w:val="24"/>
        </w:rPr>
      </w:pPr>
      <w:r w:rsidRPr="00200D07">
        <w:rPr>
          <w:i/>
          <w:sz w:val="24"/>
          <w:szCs w:val="24"/>
          <w:lang w:val="sr-Cyrl-RS"/>
        </w:rPr>
        <w:t xml:space="preserve">Обезбеђивање </w:t>
      </w:r>
      <w:r>
        <w:rPr>
          <w:sz w:val="24"/>
          <w:szCs w:val="24"/>
          <w:lang w:val="sr-Cyrl-RS"/>
        </w:rPr>
        <w:t>стандардизованих, националних база података, које ће органи региона размењивати;</w:t>
      </w:r>
    </w:p>
    <w:p w:rsidR="00200D07" w:rsidRPr="00200D07" w:rsidRDefault="00200D07" w:rsidP="00200D07">
      <w:pPr>
        <w:pStyle w:val="ListParagraph"/>
        <w:rPr>
          <w:sz w:val="24"/>
          <w:szCs w:val="24"/>
        </w:rPr>
      </w:pPr>
    </w:p>
    <w:p w:rsidR="00200D07" w:rsidRPr="005D0653" w:rsidRDefault="00200D07" w:rsidP="005D0653">
      <w:pPr>
        <w:pStyle w:val="ListParagraph"/>
        <w:numPr>
          <w:ilvl w:val="0"/>
          <w:numId w:val="3"/>
        </w:numPr>
        <w:spacing w:before="360" w:after="120"/>
        <w:ind w:left="0" w:firstLine="709"/>
        <w:jc w:val="both"/>
        <w:rPr>
          <w:sz w:val="24"/>
          <w:szCs w:val="24"/>
        </w:rPr>
      </w:pPr>
      <w:r w:rsidRPr="00200D07">
        <w:rPr>
          <w:i/>
          <w:sz w:val="24"/>
          <w:szCs w:val="24"/>
          <w:lang w:val="sr-Cyrl-RS"/>
        </w:rPr>
        <w:t>Постизање</w:t>
      </w:r>
      <w:r>
        <w:rPr>
          <w:sz w:val="24"/>
          <w:szCs w:val="24"/>
          <w:lang w:val="sr-Cyrl-RS"/>
        </w:rPr>
        <w:t xml:space="preserve"> јасне поделе надлежности и одговорности међу институцијама и актерима у управљању одбраном од поплава. </w:t>
      </w:r>
    </w:p>
    <w:p w:rsidR="005D0653" w:rsidRPr="005D0653" w:rsidRDefault="005D0653" w:rsidP="005D0653">
      <w:pPr>
        <w:pStyle w:val="ListParagraph"/>
        <w:spacing w:before="360" w:after="120"/>
        <w:ind w:left="709"/>
        <w:jc w:val="both"/>
        <w:rPr>
          <w:sz w:val="24"/>
          <w:szCs w:val="24"/>
        </w:rPr>
      </w:pPr>
    </w:p>
    <w:sectPr w:rsidR="005D0653" w:rsidRPr="005D0653" w:rsidSect="00EC52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2878"/>
    <w:multiLevelType w:val="hybridMultilevel"/>
    <w:tmpl w:val="7A14B2E2"/>
    <w:lvl w:ilvl="0" w:tplc="067ABE6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F5273"/>
    <w:multiLevelType w:val="hybridMultilevel"/>
    <w:tmpl w:val="022E17C4"/>
    <w:lvl w:ilvl="0" w:tplc="041A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70606243"/>
    <w:multiLevelType w:val="hybridMultilevel"/>
    <w:tmpl w:val="E7C65D8E"/>
    <w:lvl w:ilvl="0" w:tplc="FEB2BBB4">
      <w:start w:val="1"/>
      <w:numFmt w:val="decimal"/>
      <w:lvlText w:val="%1."/>
      <w:lvlJc w:val="left"/>
      <w:pPr>
        <w:ind w:left="1788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2508" w:hanging="360"/>
      </w:pPr>
    </w:lvl>
    <w:lvl w:ilvl="2" w:tplc="100C001B" w:tentative="1">
      <w:start w:val="1"/>
      <w:numFmt w:val="lowerRoman"/>
      <w:lvlText w:val="%3."/>
      <w:lvlJc w:val="right"/>
      <w:pPr>
        <w:ind w:left="3228" w:hanging="180"/>
      </w:pPr>
    </w:lvl>
    <w:lvl w:ilvl="3" w:tplc="100C000F" w:tentative="1">
      <w:start w:val="1"/>
      <w:numFmt w:val="decimal"/>
      <w:lvlText w:val="%4."/>
      <w:lvlJc w:val="left"/>
      <w:pPr>
        <w:ind w:left="3948" w:hanging="360"/>
      </w:pPr>
    </w:lvl>
    <w:lvl w:ilvl="4" w:tplc="100C0019" w:tentative="1">
      <w:start w:val="1"/>
      <w:numFmt w:val="lowerLetter"/>
      <w:lvlText w:val="%5."/>
      <w:lvlJc w:val="left"/>
      <w:pPr>
        <w:ind w:left="4668" w:hanging="360"/>
      </w:pPr>
    </w:lvl>
    <w:lvl w:ilvl="5" w:tplc="100C001B" w:tentative="1">
      <w:start w:val="1"/>
      <w:numFmt w:val="lowerRoman"/>
      <w:lvlText w:val="%6."/>
      <w:lvlJc w:val="right"/>
      <w:pPr>
        <w:ind w:left="5388" w:hanging="180"/>
      </w:pPr>
    </w:lvl>
    <w:lvl w:ilvl="6" w:tplc="100C000F" w:tentative="1">
      <w:start w:val="1"/>
      <w:numFmt w:val="decimal"/>
      <w:lvlText w:val="%7."/>
      <w:lvlJc w:val="left"/>
      <w:pPr>
        <w:ind w:left="6108" w:hanging="360"/>
      </w:pPr>
    </w:lvl>
    <w:lvl w:ilvl="7" w:tplc="100C0019" w:tentative="1">
      <w:start w:val="1"/>
      <w:numFmt w:val="lowerLetter"/>
      <w:lvlText w:val="%8."/>
      <w:lvlJc w:val="left"/>
      <w:pPr>
        <w:ind w:left="6828" w:hanging="360"/>
      </w:pPr>
    </w:lvl>
    <w:lvl w:ilvl="8" w:tplc="100C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0E"/>
    <w:rsid w:val="00046443"/>
    <w:rsid w:val="000D15C1"/>
    <w:rsid w:val="000F64D8"/>
    <w:rsid w:val="00200D07"/>
    <w:rsid w:val="002861AF"/>
    <w:rsid w:val="003B6561"/>
    <w:rsid w:val="003F150E"/>
    <w:rsid w:val="00431350"/>
    <w:rsid w:val="00580B0F"/>
    <w:rsid w:val="005D0653"/>
    <w:rsid w:val="00620C73"/>
    <w:rsid w:val="00656C1D"/>
    <w:rsid w:val="00675E35"/>
    <w:rsid w:val="006C2320"/>
    <w:rsid w:val="007257FD"/>
    <w:rsid w:val="007A10AA"/>
    <w:rsid w:val="00875800"/>
    <w:rsid w:val="0088491A"/>
    <w:rsid w:val="008A3A53"/>
    <w:rsid w:val="00A42791"/>
    <w:rsid w:val="00A74435"/>
    <w:rsid w:val="00BD18AC"/>
    <w:rsid w:val="00C55DA2"/>
    <w:rsid w:val="00C9122D"/>
    <w:rsid w:val="00D37399"/>
    <w:rsid w:val="00E75E74"/>
    <w:rsid w:val="00EA6860"/>
    <w:rsid w:val="00EC527F"/>
    <w:rsid w:val="00F70FEE"/>
    <w:rsid w:val="00F77280"/>
    <w:rsid w:val="00F8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autoRedefine/>
    <w:semiHidden/>
    <w:rsid w:val="007257FD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semiHidden/>
    <w:rsid w:val="007257FD"/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paragraph" w:styleId="ListParagraph">
    <w:name w:val="List Paragraph"/>
    <w:basedOn w:val="Normal"/>
    <w:uiPriority w:val="34"/>
    <w:qFormat/>
    <w:rsid w:val="00675E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6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C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autoRedefine/>
    <w:semiHidden/>
    <w:rsid w:val="007257FD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semiHidden/>
    <w:rsid w:val="007257FD"/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paragraph" w:styleId="ListParagraph">
    <w:name w:val="List Paragraph"/>
    <w:basedOn w:val="Normal"/>
    <w:uiPriority w:val="34"/>
    <w:qFormat/>
    <w:rsid w:val="00675E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6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C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8891-39DB-467E-A7A8-40FC9C07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AVDAGA</dc:creator>
  <cp:lastModifiedBy>Radoslava Markovic</cp:lastModifiedBy>
  <cp:revision>5</cp:revision>
  <dcterms:created xsi:type="dcterms:W3CDTF">2015-06-29T13:24:00Z</dcterms:created>
  <dcterms:modified xsi:type="dcterms:W3CDTF">2015-07-01T08:28:00Z</dcterms:modified>
</cp:coreProperties>
</file>